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735F6" w14:textId="77777777" w:rsidR="00BC556F" w:rsidRDefault="00BC556F" w:rsidP="00AC16AF">
      <w:pPr>
        <w:spacing w:after="0" w:line="360" w:lineRule="auto"/>
        <w:ind w:right="708"/>
        <w:jc w:val="center"/>
        <w:rPr>
          <w:rFonts w:ascii="Arial" w:eastAsia="Times New Roman" w:hAnsi="Arial" w:cs="Arial"/>
          <w:sz w:val="24"/>
          <w:szCs w:val="24"/>
          <w:lang w:eastAsia="pl-PL"/>
        </w:rPr>
      </w:pPr>
    </w:p>
    <w:p w14:paraId="5D14C799" w14:textId="7081E20A" w:rsidR="008A2595" w:rsidRPr="00BC556F" w:rsidRDefault="00FA7069" w:rsidP="00AC16AF">
      <w:pPr>
        <w:spacing w:after="0" w:line="360" w:lineRule="auto"/>
        <w:ind w:right="708"/>
        <w:jc w:val="center"/>
        <w:rPr>
          <w:rFonts w:ascii="Arial" w:eastAsia="Times New Roman" w:hAnsi="Arial" w:cs="Arial"/>
          <w:b/>
          <w:sz w:val="24"/>
          <w:szCs w:val="24"/>
          <w:lang w:eastAsia="pl-PL"/>
        </w:rPr>
      </w:pPr>
      <w:r w:rsidRPr="00BC556F">
        <w:rPr>
          <w:rFonts w:ascii="Arial" w:eastAsia="Times New Roman" w:hAnsi="Arial" w:cs="Arial"/>
          <w:b/>
          <w:sz w:val="24"/>
          <w:szCs w:val="24"/>
          <w:lang w:eastAsia="pl-PL"/>
        </w:rPr>
        <w:t>PRODUKT RÓWNOWAŻ</w:t>
      </w:r>
      <w:r w:rsidR="008A2595" w:rsidRPr="00BC556F">
        <w:rPr>
          <w:rFonts w:ascii="Arial" w:eastAsia="Times New Roman" w:hAnsi="Arial" w:cs="Arial"/>
          <w:b/>
          <w:sz w:val="24"/>
          <w:szCs w:val="24"/>
          <w:lang w:eastAsia="pl-PL"/>
        </w:rPr>
        <w:t>NY LUB LEPSZY</w:t>
      </w:r>
      <w:r w:rsidR="00F72959" w:rsidRPr="00BC556F">
        <w:rPr>
          <w:rFonts w:ascii="Arial" w:eastAsia="Times New Roman" w:hAnsi="Arial" w:cs="Arial"/>
          <w:b/>
          <w:sz w:val="24"/>
          <w:szCs w:val="24"/>
          <w:lang w:eastAsia="pl-PL"/>
        </w:rPr>
        <w:t xml:space="preserve"> </w:t>
      </w:r>
      <w:r w:rsidR="00F72959" w:rsidRPr="00BC556F">
        <w:rPr>
          <w:rFonts w:ascii="Arial" w:eastAsia="Times New Roman" w:hAnsi="Arial" w:cs="Arial"/>
          <w:b/>
          <w:sz w:val="24"/>
          <w:szCs w:val="24"/>
          <w:lang w:eastAsia="pl-PL"/>
        </w:rPr>
        <w:br/>
      </w:r>
      <w:r w:rsidR="003332E0" w:rsidRPr="003332E0">
        <w:rPr>
          <w:rFonts w:ascii="Arial" w:eastAsia="Times New Roman" w:hAnsi="Arial" w:cs="Arial"/>
          <w:b/>
          <w:color w:val="FF0000"/>
          <w:sz w:val="24"/>
          <w:szCs w:val="24"/>
          <w:lang w:eastAsia="pl-PL"/>
        </w:rPr>
        <w:t>ZMIANA</w:t>
      </w:r>
    </w:p>
    <w:p w14:paraId="013A0FCD" w14:textId="522F3077" w:rsidR="00AC16AF" w:rsidRPr="0028776C" w:rsidRDefault="0028776C" w:rsidP="0028776C">
      <w:pPr>
        <w:rPr>
          <w:rFonts w:ascii="Arial" w:hAnsi="Arial" w:cs="Arial"/>
        </w:rPr>
      </w:pPr>
      <w:r>
        <w:rPr>
          <w:rFonts w:ascii="Arial" w:hAnsi="Arial" w:cs="Arial"/>
        </w:rPr>
        <w:t>Sprawa nr 9/07/PN/2025</w:t>
      </w:r>
    </w:p>
    <w:p w14:paraId="2B7CEF6F" w14:textId="77777777" w:rsidR="00AC16AF" w:rsidRPr="00AC16AF" w:rsidRDefault="00AC16AF" w:rsidP="00AC16AF">
      <w:pPr>
        <w:spacing w:after="0" w:line="360" w:lineRule="auto"/>
        <w:ind w:right="708"/>
        <w:jc w:val="both"/>
        <w:rPr>
          <w:rFonts w:ascii="Arial" w:eastAsia="Times New Roman" w:hAnsi="Arial" w:cs="Arial"/>
          <w:sz w:val="24"/>
          <w:szCs w:val="24"/>
          <w:lang w:eastAsia="pl-PL"/>
        </w:rPr>
      </w:pPr>
    </w:p>
    <w:p w14:paraId="72FA457F" w14:textId="77777777" w:rsidR="00E60B83" w:rsidRPr="00AC16AF" w:rsidRDefault="008A2595" w:rsidP="00AC16AF">
      <w:pPr>
        <w:pStyle w:val="Akapitzlist"/>
        <w:numPr>
          <w:ilvl w:val="0"/>
          <w:numId w:val="5"/>
        </w:numPr>
        <w:spacing w:after="0" w:line="360" w:lineRule="auto"/>
        <w:ind w:right="-567"/>
        <w:jc w:val="both"/>
        <w:rPr>
          <w:rFonts w:ascii="Arial" w:eastAsia="Times New Roman" w:hAnsi="Arial" w:cs="Arial"/>
          <w:sz w:val="24"/>
          <w:szCs w:val="24"/>
          <w:lang w:eastAsia="pl-PL"/>
        </w:rPr>
      </w:pPr>
      <w:r w:rsidRPr="00AC16AF">
        <w:rPr>
          <w:rFonts w:ascii="Arial" w:eastAsia="Times New Roman" w:hAnsi="Arial" w:cs="Arial"/>
          <w:sz w:val="24"/>
          <w:szCs w:val="24"/>
          <w:lang w:eastAsia="pl-PL"/>
        </w:rPr>
        <w:t xml:space="preserve">Wykonawca, który w ofercie powoła się na zastosowanie produktów równoważnych opisywanych w specyfikacji istotnych warunków zamówienia, jest obowiązany wykazać, że oferowane przez niego produkty spełniają wymagania określone przez Zamawiającego, poprzez </w:t>
      </w:r>
      <w:r w:rsidRPr="00AC16AF">
        <w:rPr>
          <w:rFonts w:ascii="Arial" w:eastAsia="Times New Roman" w:hAnsi="Arial" w:cs="Arial"/>
          <w:b/>
          <w:bCs/>
          <w:sz w:val="24"/>
          <w:szCs w:val="24"/>
          <w:lang w:eastAsia="pl-PL"/>
        </w:rPr>
        <w:t xml:space="preserve">wpisanie </w:t>
      </w:r>
      <w:r w:rsidR="000007B9">
        <w:rPr>
          <w:rFonts w:ascii="Arial" w:eastAsia="Times New Roman" w:hAnsi="Arial" w:cs="Arial"/>
          <w:b/>
          <w:bCs/>
          <w:sz w:val="24"/>
          <w:szCs w:val="24"/>
          <w:lang w:eastAsia="pl-PL"/>
        </w:rPr>
        <w:t xml:space="preserve">w formularzu cenowym </w:t>
      </w:r>
      <w:r w:rsidRPr="00AC16AF">
        <w:rPr>
          <w:rFonts w:ascii="Arial" w:eastAsia="Times New Roman" w:hAnsi="Arial" w:cs="Arial"/>
          <w:b/>
          <w:bCs/>
          <w:sz w:val="24"/>
          <w:szCs w:val="24"/>
          <w:lang w:eastAsia="pl-PL"/>
        </w:rPr>
        <w:t>nazwy produktu równoważnego</w:t>
      </w:r>
      <w:r w:rsidR="000007B9">
        <w:rPr>
          <w:rFonts w:ascii="Arial" w:eastAsia="Times New Roman" w:hAnsi="Arial" w:cs="Arial"/>
          <w:b/>
          <w:bCs/>
          <w:sz w:val="24"/>
          <w:szCs w:val="24"/>
          <w:lang w:eastAsia="pl-PL"/>
        </w:rPr>
        <w:t xml:space="preserve"> z podaniem producenta i kodu oferowanego produktu równoważnego, </w:t>
      </w:r>
      <w:r w:rsidRPr="00AC16AF">
        <w:rPr>
          <w:rFonts w:ascii="Arial" w:eastAsia="Times New Roman" w:hAnsi="Arial" w:cs="Arial"/>
          <w:sz w:val="24"/>
          <w:szCs w:val="24"/>
          <w:lang w:eastAsia="pl-PL"/>
        </w:rPr>
        <w:t>w komórce „</w:t>
      </w:r>
      <w:r w:rsidR="000007B9">
        <w:rPr>
          <w:rFonts w:ascii="Arial" w:eastAsia="Times New Roman" w:hAnsi="Arial" w:cs="Arial"/>
          <w:sz w:val="24"/>
          <w:szCs w:val="24"/>
          <w:lang w:eastAsia="pl-PL"/>
        </w:rPr>
        <w:t>Producent i kod oferowanego produktu równoważnego</w:t>
      </w:r>
      <w:r w:rsidRPr="00AC16AF">
        <w:rPr>
          <w:rFonts w:ascii="Arial" w:eastAsia="Times New Roman" w:hAnsi="Arial" w:cs="Arial"/>
          <w:sz w:val="24"/>
          <w:szCs w:val="24"/>
          <w:lang w:eastAsia="pl-PL"/>
        </w:rPr>
        <w:t>”</w:t>
      </w:r>
      <w:r w:rsidR="000007B9">
        <w:rPr>
          <w:rFonts w:ascii="Arial" w:eastAsia="Times New Roman" w:hAnsi="Arial" w:cs="Arial"/>
          <w:sz w:val="24"/>
          <w:szCs w:val="24"/>
          <w:lang w:eastAsia="pl-PL"/>
        </w:rPr>
        <w:t>, dodatkowo w komórce „Wydajność produktu równoważnego” wpisać ilość stron zgodną z wynikiem z raportu testów wydajności o</w:t>
      </w:r>
      <w:r w:rsidRPr="00AC16AF">
        <w:rPr>
          <w:rFonts w:ascii="Arial" w:eastAsia="Times New Roman" w:hAnsi="Arial" w:cs="Arial"/>
          <w:sz w:val="24"/>
          <w:szCs w:val="24"/>
          <w:lang w:eastAsia="pl-PL"/>
        </w:rPr>
        <w:t xml:space="preserve">raz </w:t>
      </w:r>
      <w:r w:rsidRPr="00AC16AF">
        <w:rPr>
          <w:rFonts w:ascii="Arial" w:eastAsia="Times New Roman" w:hAnsi="Arial" w:cs="Arial"/>
          <w:b/>
          <w:bCs/>
          <w:sz w:val="24"/>
          <w:szCs w:val="24"/>
          <w:lang w:eastAsia="pl-PL"/>
        </w:rPr>
        <w:t>dołączenie do oferty opisu oferowanego produktu równoważnego</w:t>
      </w:r>
      <w:r w:rsidRPr="00AC16AF">
        <w:rPr>
          <w:rFonts w:ascii="Arial" w:eastAsia="Times New Roman" w:hAnsi="Arial" w:cs="Arial"/>
          <w:sz w:val="24"/>
          <w:szCs w:val="24"/>
          <w:lang w:eastAsia="pl-PL"/>
        </w:rPr>
        <w:t xml:space="preserve"> (</w:t>
      </w:r>
      <w:r w:rsidR="000007B9">
        <w:rPr>
          <w:rFonts w:ascii="Arial" w:eastAsia="Times New Roman" w:hAnsi="Arial" w:cs="Arial"/>
          <w:sz w:val="24"/>
          <w:szCs w:val="24"/>
          <w:lang w:eastAsia="pl-PL"/>
        </w:rPr>
        <w:t>karty specyfikacji technicznej</w:t>
      </w:r>
      <w:r w:rsidRPr="00AC16AF">
        <w:rPr>
          <w:rFonts w:ascii="Arial" w:eastAsia="Times New Roman" w:hAnsi="Arial" w:cs="Arial"/>
          <w:sz w:val="24"/>
          <w:szCs w:val="24"/>
          <w:lang w:eastAsia="pl-PL"/>
        </w:rPr>
        <w:t>) dla danej pozycji asortymentowej.</w:t>
      </w:r>
    </w:p>
    <w:p w14:paraId="06490C1E" w14:textId="77777777" w:rsidR="00557840" w:rsidRPr="00AC16AF" w:rsidRDefault="00557840" w:rsidP="00AC16AF">
      <w:pPr>
        <w:pStyle w:val="Akapitzlist"/>
        <w:spacing w:after="0" w:line="360" w:lineRule="auto"/>
        <w:ind w:left="-66" w:right="-567"/>
        <w:jc w:val="both"/>
        <w:rPr>
          <w:rFonts w:ascii="Arial" w:eastAsia="Times New Roman" w:hAnsi="Arial" w:cs="Arial"/>
          <w:sz w:val="24"/>
          <w:szCs w:val="24"/>
          <w:lang w:eastAsia="pl-PL"/>
        </w:rPr>
      </w:pPr>
    </w:p>
    <w:p w14:paraId="3B629737" w14:textId="77777777" w:rsidR="008A2595" w:rsidRPr="00AC16AF" w:rsidRDefault="008A2595" w:rsidP="000367B2">
      <w:pPr>
        <w:pStyle w:val="Akapitzlist"/>
        <w:numPr>
          <w:ilvl w:val="0"/>
          <w:numId w:val="5"/>
        </w:numPr>
        <w:spacing w:after="0" w:line="360" w:lineRule="auto"/>
        <w:ind w:right="-567"/>
        <w:jc w:val="both"/>
        <w:rPr>
          <w:rFonts w:ascii="Arial" w:eastAsia="Times New Roman" w:hAnsi="Arial" w:cs="Arial"/>
          <w:sz w:val="24"/>
          <w:szCs w:val="24"/>
          <w:lang w:eastAsia="pl-PL"/>
        </w:rPr>
      </w:pPr>
      <w:r w:rsidRPr="00AC16AF">
        <w:rPr>
          <w:rFonts w:ascii="Arial" w:eastAsia="Times New Roman" w:hAnsi="Arial" w:cs="Arial"/>
          <w:sz w:val="24"/>
          <w:szCs w:val="24"/>
          <w:lang w:eastAsia="pl-PL"/>
        </w:rPr>
        <w:t>Przez materiał eksploatacyjny równoważny Zamawiający rozumie produkt:</w:t>
      </w:r>
    </w:p>
    <w:p w14:paraId="504FFB49" w14:textId="77777777" w:rsidR="00557840" w:rsidRPr="00AC16AF" w:rsidRDefault="008A2595" w:rsidP="000367B2">
      <w:pPr>
        <w:shd w:val="clear" w:color="auto" w:fill="FFFFFF"/>
        <w:spacing w:after="0" w:line="360" w:lineRule="auto"/>
        <w:ind w:left="-142" w:right="-567"/>
        <w:jc w:val="both"/>
        <w:textAlignment w:val="baseline"/>
        <w:rPr>
          <w:rFonts w:ascii="Arial" w:eastAsia="Times New Roman" w:hAnsi="Arial" w:cs="Arial"/>
          <w:color w:val="000000"/>
          <w:sz w:val="24"/>
          <w:szCs w:val="24"/>
          <w:lang w:eastAsia="pl-PL"/>
        </w:rPr>
      </w:pPr>
      <w:r w:rsidRPr="00AC16AF">
        <w:rPr>
          <w:rFonts w:ascii="Arial" w:eastAsia="Times New Roman" w:hAnsi="Arial" w:cs="Arial"/>
          <w:sz w:val="24"/>
          <w:szCs w:val="24"/>
          <w:lang w:eastAsia="pl-PL"/>
        </w:rPr>
        <w:t>fabrycznie nowy, nie regenerowany,</w:t>
      </w:r>
      <w:r w:rsidRPr="00AC16AF">
        <w:rPr>
          <w:rFonts w:ascii="Arial" w:eastAsia="Times New Roman" w:hAnsi="Arial" w:cs="Arial"/>
          <w:color w:val="000000"/>
          <w:sz w:val="24"/>
          <w:szCs w:val="24"/>
          <w:lang w:eastAsia="pl-PL"/>
        </w:rPr>
        <w:t xml:space="preserve"> pochodzący z bieżącej produkcji, wytworzony seryjnie w cyklu produkcyjnym, zgodnym z normą ISO 9001 (NORMA JAKOŚCI) oraz ISO 14001(DOTYCZY OCHRONY ŚRODOWISKA) lub normami równoważnymi (do oferty wymagane jest za</w:t>
      </w:r>
      <w:r w:rsidR="00557840" w:rsidRPr="00AC16AF">
        <w:rPr>
          <w:rFonts w:ascii="Arial" w:eastAsia="Times New Roman" w:hAnsi="Arial" w:cs="Arial"/>
          <w:color w:val="000000"/>
          <w:sz w:val="24"/>
          <w:szCs w:val="24"/>
          <w:lang w:eastAsia="pl-PL"/>
        </w:rPr>
        <w:t>łączenie stosownych dokumentów).</w:t>
      </w:r>
    </w:p>
    <w:p w14:paraId="27680559" w14:textId="77777777" w:rsidR="00557840" w:rsidRPr="00AC16AF" w:rsidRDefault="00557840" w:rsidP="00AC16AF">
      <w:pPr>
        <w:shd w:val="clear" w:color="auto" w:fill="FFFFFF"/>
        <w:spacing w:after="0" w:line="360" w:lineRule="auto"/>
        <w:ind w:left="-142" w:right="-567"/>
        <w:jc w:val="both"/>
        <w:textAlignment w:val="baseline"/>
        <w:rPr>
          <w:rFonts w:ascii="Arial" w:eastAsia="Times New Roman" w:hAnsi="Arial" w:cs="Arial"/>
          <w:sz w:val="24"/>
          <w:szCs w:val="24"/>
          <w:lang w:eastAsia="pl-PL"/>
        </w:rPr>
      </w:pPr>
      <w:r w:rsidRPr="00AC16AF">
        <w:rPr>
          <w:rFonts w:ascii="Arial" w:eastAsia="Times New Roman" w:hAnsi="Arial" w:cs="Arial"/>
          <w:sz w:val="24"/>
          <w:szCs w:val="24"/>
          <w:lang w:eastAsia="pl-PL"/>
        </w:rPr>
        <w:t xml:space="preserve"> </w:t>
      </w:r>
    </w:p>
    <w:p w14:paraId="5CA1FB66" w14:textId="77777777" w:rsidR="00557840" w:rsidRPr="00AC16AF" w:rsidRDefault="00557840" w:rsidP="00AC16AF">
      <w:pPr>
        <w:pStyle w:val="Akapitzlist"/>
        <w:numPr>
          <w:ilvl w:val="0"/>
          <w:numId w:val="5"/>
        </w:numPr>
        <w:shd w:val="clear" w:color="auto" w:fill="FFFFFF"/>
        <w:spacing w:after="0" w:line="360" w:lineRule="auto"/>
        <w:ind w:right="-567"/>
        <w:jc w:val="both"/>
        <w:textAlignment w:val="baseline"/>
        <w:rPr>
          <w:rFonts w:ascii="Arial" w:eastAsia="Times New Roman" w:hAnsi="Arial" w:cs="Arial"/>
          <w:sz w:val="24"/>
          <w:szCs w:val="24"/>
          <w:lang w:eastAsia="pl-PL"/>
        </w:rPr>
      </w:pPr>
      <w:r w:rsidRPr="00AC16AF">
        <w:rPr>
          <w:rFonts w:ascii="Arial" w:eastAsia="Times New Roman" w:hAnsi="Arial" w:cs="Arial"/>
          <w:sz w:val="24"/>
          <w:szCs w:val="24"/>
          <w:lang w:eastAsia="pl-PL"/>
        </w:rPr>
        <w:t xml:space="preserve">W </w:t>
      </w:r>
      <w:r w:rsidR="008A2595" w:rsidRPr="00AC16AF">
        <w:rPr>
          <w:rFonts w:ascii="Arial" w:eastAsia="Times New Roman" w:hAnsi="Arial" w:cs="Arial"/>
          <w:sz w:val="24"/>
          <w:szCs w:val="24"/>
          <w:lang w:eastAsia="pl-PL"/>
        </w:rPr>
        <w:t>przypadku zaoferowania materiałów równoważnych</w:t>
      </w:r>
      <w:r w:rsidR="00AC16AF">
        <w:rPr>
          <w:rFonts w:ascii="Arial" w:eastAsia="Times New Roman" w:hAnsi="Arial" w:cs="Arial"/>
          <w:sz w:val="24"/>
          <w:szCs w:val="24"/>
          <w:lang w:eastAsia="pl-PL"/>
        </w:rPr>
        <w:t xml:space="preserve"> w</w:t>
      </w:r>
      <w:r w:rsidR="008A2595" w:rsidRPr="00AC16AF">
        <w:rPr>
          <w:rFonts w:ascii="Arial" w:eastAsia="Times New Roman" w:hAnsi="Arial" w:cs="Arial"/>
          <w:sz w:val="24"/>
          <w:szCs w:val="24"/>
          <w:lang w:eastAsia="pl-PL"/>
        </w:rPr>
        <w:t>ykonawca zobowiązany jest przedstawić wraz z ofertą szczegółową specyfikację, z której w sposób niebudzący wątpliwości winno wynikać, że oferowany materiał eksploatacyjny posiada takie same lub lepsze parametry techniczne, jakościowe, niż określone przez Zamawiającego</w:t>
      </w:r>
      <w:r w:rsidRPr="00AC16AF">
        <w:rPr>
          <w:rFonts w:ascii="Arial" w:eastAsia="Times New Roman" w:hAnsi="Arial" w:cs="Arial"/>
          <w:sz w:val="24"/>
          <w:szCs w:val="24"/>
          <w:lang w:eastAsia="pl-PL"/>
        </w:rPr>
        <w:t>.</w:t>
      </w:r>
    </w:p>
    <w:p w14:paraId="4D36709D" w14:textId="77777777" w:rsidR="00557840" w:rsidRPr="00AC16AF" w:rsidRDefault="00557840" w:rsidP="00AC16AF">
      <w:pPr>
        <w:shd w:val="clear" w:color="auto" w:fill="FFFFFF"/>
        <w:spacing w:after="0" w:line="360" w:lineRule="auto"/>
        <w:ind w:left="-142" w:right="-567"/>
        <w:jc w:val="both"/>
        <w:textAlignment w:val="baseline"/>
        <w:rPr>
          <w:rFonts w:ascii="Arial" w:eastAsia="Times New Roman" w:hAnsi="Arial" w:cs="Arial"/>
          <w:sz w:val="24"/>
          <w:szCs w:val="24"/>
          <w:lang w:eastAsia="pl-PL"/>
        </w:rPr>
      </w:pPr>
    </w:p>
    <w:p w14:paraId="3C8B1AD7" w14:textId="77777777" w:rsidR="00FE1D4A" w:rsidRPr="00AC16AF" w:rsidRDefault="00FE1D4A" w:rsidP="00AC16AF">
      <w:pPr>
        <w:pStyle w:val="Akapitzlist"/>
        <w:numPr>
          <w:ilvl w:val="0"/>
          <w:numId w:val="5"/>
        </w:numPr>
        <w:shd w:val="clear" w:color="auto" w:fill="FFFFFF"/>
        <w:spacing w:after="0" w:line="360" w:lineRule="auto"/>
        <w:ind w:right="-567"/>
        <w:jc w:val="both"/>
        <w:textAlignment w:val="baseline"/>
        <w:rPr>
          <w:rFonts w:ascii="Arial" w:eastAsia="Times New Roman" w:hAnsi="Arial" w:cs="Arial"/>
          <w:sz w:val="24"/>
          <w:szCs w:val="24"/>
          <w:lang w:eastAsia="pl-PL"/>
        </w:rPr>
      </w:pPr>
      <w:r w:rsidRPr="00AC16AF">
        <w:rPr>
          <w:rFonts w:ascii="Arial" w:hAnsi="Arial" w:cs="Arial"/>
          <w:sz w:val="24"/>
          <w:szCs w:val="24"/>
        </w:rPr>
        <w:t>Materiały równoważne muszą parametrycznie być porównywalne pod każdym względem z materiałami oryginalnymi, a w szczególności:</w:t>
      </w:r>
    </w:p>
    <w:p w14:paraId="3F9181D9" w14:textId="77777777" w:rsidR="004B17E4" w:rsidRPr="00AC16AF" w:rsidRDefault="004B17E4" w:rsidP="00AC16AF">
      <w:pPr>
        <w:pStyle w:val="Akapitzlist"/>
        <w:numPr>
          <w:ilvl w:val="0"/>
          <w:numId w:val="2"/>
        </w:numPr>
        <w:spacing w:line="360" w:lineRule="auto"/>
        <w:jc w:val="both"/>
        <w:rPr>
          <w:rFonts w:ascii="Arial" w:hAnsi="Arial" w:cs="Arial"/>
          <w:i/>
          <w:sz w:val="24"/>
          <w:szCs w:val="24"/>
        </w:rPr>
      </w:pPr>
      <w:r w:rsidRPr="00AC16AF">
        <w:rPr>
          <w:rFonts w:ascii="Arial" w:eastAsia="Times New Roman" w:hAnsi="Arial" w:cs="Arial"/>
          <w:i/>
          <w:sz w:val="24"/>
          <w:szCs w:val="24"/>
          <w:lang w:eastAsia="pl-PL"/>
        </w:rPr>
        <w:t>fabrycznie nowy, nie gorszej jakości niż produkt zalecany przez producenta sprzętu,</w:t>
      </w:r>
    </w:p>
    <w:p w14:paraId="4C2F3035" w14:textId="77777777" w:rsidR="00BF20D4" w:rsidRPr="00AC16AF" w:rsidRDefault="00BF20D4" w:rsidP="00AC16AF">
      <w:pPr>
        <w:pStyle w:val="Akapitzlist"/>
        <w:numPr>
          <w:ilvl w:val="0"/>
          <w:numId w:val="2"/>
        </w:numPr>
        <w:spacing w:line="360" w:lineRule="auto"/>
        <w:jc w:val="both"/>
        <w:rPr>
          <w:rFonts w:ascii="Arial" w:hAnsi="Arial" w:cs="Arial"/>
          <w:i/>
          <w:sz w:val="24"/>
          <w:szCs w:val="24"/>
        </w:rPr>
      </w:pPr>
      <w:r w:rsidRPr="00AC16AF">
        <w:rPr>
          <w:rFonts w:ascii="Arial" w:hAnsi="Arial" w:cs="Arial"/>
          <w:i/>
          <w:sz w:val="24"/>
          <w:szCs w:val="24"/>
        </w:rPr>
        <w:t>muszą być w 100% nowe, zapakowane w nieuszkodzone pudełka, wewnątrz zabezpieczone w światłochronne worki plastikowe,</w:t>
      </w:r>
    </w:p>
    <w:p w14:paraId="49593AF1" w14:textId="77777777" w:rsidR="00BF20D4" w:rsidRPr="00AC16AF" w:rsidRDefault="00BF20D4" w:rsidP="00AC16AF">
      <w:pPr>
        <w:pStyle w:val="Akapitzlist"/>
        <w:numPr>
          <w:ilvl w:val="0"/>
          <w:numId w:val="2"/>
        </w:numPr>
        <w:spacing w:line="360" w:lineRule="auto"/>
        <w:jc w:val="both"/>
        <w:rPr>
          <w:rFonts w:ascii="Arial" w:hAnsi="Arial" w:cs="Arial"/>
          <w:i/>
          <w:sz w:val="24"/>
          <w:szCs w:val="24"/>
        </w:rPr>
      </w:pPr>
      <w:r w:rsidRPr="00AC16AF">
        <w:rPr>
          <w:rFonts w:ascii="Arial" w:hAnsi="Arial" w:cs="Arial"/>
          <w:i/>
          <w:sz w:val="24"/>
          <w:szCs w:val="24"/>
        </w:rPr>
        <w:t>do produkcji nie mogą być użyte żadne części z odzysku, włącznie z obudową plastikową lub pojemnikiem plastikowym,</w:t>
      </w:r>
    </w:p>
    <w:p w14:paraId="7F3719A5" w14:textId="77777777" w:rsidR="00BF20D4" w:rsidRPr="00AC16AF" w:rsidRDefault="00BF20D4" w:rsidP="006E51FA">
      <w:pPr>
        <w:pStyle w:val="Akapitzlist"/>
        <w:numPr>
          <w:ilvl w:val="0"/>
          <w:numId w:val="2"/>
        </w:numPr>
        <w:spacing w:line="360" w:lineRule="auto"/>
        <w:jc w:val="both"/>
        <w:rPr>
          <w:rFonts w:ascii="Arial" w:hAnsi="Arial" w:cs="Arial"/>
          <w:i/>
          <w:sz w:val="24"/>
          <w:szCs w:val="24"/>
        </w:rPr>
      </w:pPr>
      <w:r w:rsidRPr="00AC16AF">
        <w:rPr>
          <w:rFonts w:ascii="Arial" w:hAnsi="Arial" w:cs="Arial"/>
          <w:i/>
          <w:sz w:val="24"/>
          <w:szCs w:val="24"/>
        </w:rPr>
        <w:lastRenderedPageBreak/>
        <w:t>bębny światłoczułe, wałki, listwy czyszczące, listwy podające, listwy uszczelniające muszą być fabrycznie nowe</w:t>
      </w:r>
    </w:p>
    <w:p w14:paraId="7FDFD6EF" w14:textId="77777777" w:rsidR="00BF20D4" w:rsidRPr="00AC16AF" w:rsidRDefault="00BF20D4" w:rsidP="006E51FA">
      <w:pPr>
        <w:pStyle w:val="Akapitzlist"/>
        <w:numPr>
          <w:ilvl w:val="0"/>
          <w:numId w:val="2"/>
        </w:numPr>
        <w:spacing w:line="360" w:lineRule="auto"/>
        <w:jc w:val="both"/>
        <w:rPr>
          <w:rFonts w:ascii="Arial" w:hAnsi="Arial" w:cs="Arial"/>
          <w:i/>
          <w:sz w:val="24"/>
          <w:szCs w:val="24"/>
        </w:rPr>
      </w:pPr>
      <w:r w:rsidRPr="00AC16AF">
        <w:rPr>
          <w:rFonts w:ascii="Arial" w:hAnsi="Arial" w:cs="Arial"/>
          <w:i/>
          <w:sz w:val="24"/>
          <w:szCs w:val="24"/>
        </w:rPr>
        <w:t>nie mogą powodować powstania smug, pasów i  kropek na wydrukach,</w:t>
      </w:r>
    </w:p>
    <w:p w14:paraId="494582BD" w14:textId="77777777" w:rsidR="00BF20D4" w:rsidRPr="00AC16AF" w:rsidRDefault="00BF20D4" w:rsidP="006E51FA">
      <w:pPr>
        <w:pStyle w:val="Akapitzlist"/>
        <w:numPr>
          <w:ilvl w:val="0"/>
          <w:numId w:val="2"/>
        </w:numPr>
        <w:spacing w:line="360" w:lineRule="auto"/>
        <w:jc w:val="both"/>
        <w:rPr>
          <w:rFonts w:ascii="Arial" w:hAnsi="Arial" w:cs="Arial"/>
          <w:i/>
          <w:sz w:val="24"/>
          <w:szCs w:val="24"/>
        </w:rPr>
      </w:pPr>
      <w:r w:rsidRPr="00AC16AF">
        <w:rPr>
          <w:rFonts w:ascii="Arial" w:hAnsi="Arial" w:cs="Arial"/>
          <w:i/>
          <w:sz w:val="24"/>
          <w:szCs w:val="24"/>
        </w:rPr>
        <w:t>nie mogą się wysypywać/wylewać do wnętrza urządzenia,</w:t>
      </w:r>
    </w:p>
    <w:p w14:paraId="0AB56681" w14:textId="77777777" w:rsidR="00BF20D4" w:rsidRPr="00AC16AF" w:rsidRDefault="00BF20D4" w:rsidP="006E51FA">
      <w:pPr>
        <w:pStyle w:val="Akapitzlist"/>
        <w:numPr>
          <w:ilvl w:val="0"/>
          <w:numId w:val="2"/>
        </w:numPr>
        <w:spacing w:line="360" w:lineRule="auto"/>
        <w:jc w:val="both"/>
        <w:rPr>
          <w:rFonts w:ascii="Arial" w:hAnsi="Arial" w:cs="Arial"/>
          <w:i/>
          <w:sz w:val="24"/>
          <w:szCs w:val="24"/>
        </w:rPr>
      </w:pPr>
      <w:r w:rsidRPr="00AC16AF">
        <w:rPr>
          <w:rFonts w:ascii="Arial" w:hAnsi="Arial" w:cs="Arial"/>
          <w:i/>
          <w:sz w:val="24"/>
          <w:szCs w:val="24"/>
        </w:rPr>
        <w:t>muszą być wyposażone w elektroniczne chipy, pozwalające na komunikowanie się z urządzeniem oraz monitorowanie stopnia zużycia materiału,</w:t>
      </w:r>
    </w:p>
    <w:p w14:paraId="6C2A0E2B" w14:textId="77777777" w:rsidR="00BF20D4" w:rsidRPr="00AC16AF" w:rsidRDefault="00BF20D4" w:rsidP="006E51FA">
      <w:pPr>
        <w:pStyle w:val="Akapitzlist"/>
        <w:numPr>
          <w:ilvl w:val="0"/>
          <w:numId w:val="2"/>
        </w:numPr>
        <w:spacing w:line="360" w:lineRule="auto"/>
        <w:jc w:val="both"/>
        <w:rPr>
          <w:rFonts w:ascii="Arial" w:hAnsi="Arial" w:cs="Arial"/>
          <w:i/>
          <w:sz w:val="24"/>
          <w:szCs w:val="24"/>
        </w:rPr>
      </w:pPr>
      <w:r w:rsidRPr="00AC16AF">
        <w:rPr>
          <w:rFonts w:ascii="Arial" w:hAnsi="Arial" w:cs="Arial"/>
          <w:i/>
          <w:sz w:val="24"/>
          <w:szCs w:val="24"/>
        </w:rPr>
        <w:t>nie mogą powodować zacięcia papieru lub przedwczesnego zużycia podzespołów urządzeń drukujących,</w:t>
      </w:r>
    </w:p>
    <w:p w14:paraId="246E8760" w14:textId="77777777" w:rsidR="00BF20D4" w:rsidRPr="00AC16AF" w:rsidRDefault="00BF20D4" w:rsidP="006E51FA">
      <w:pPr>
        <w:pStyle w:val="Akapitzlist"/>
        <w:numPr>
          <w:ilvl w:val="0"/>
          <w:numId w:val="2"/>
        </w:numPr>
        <w:spacing w:line="360" w:lineRule="auto"/>
        <w:jc w:val="both"/>
        <w:rPr>
          <w:rFonts w:ascii="Arial" w:hAnsi="Arial" w:cs="Arial"/>
          <w:i/>
          <w:sz w:val="24"/>
          <w:szCs w:val="24"/>
        </w:rPr>
      </w:pPr>
      <w:r w:rsidRPr="00AC16AF">
        <w:rPr>
          <w:rFonts w:ascii="Arial" w:hAnsi="Arial" w:cs="Arial"/>
          <w:i/>
          <w:sz w:val="24"/>
          <w:szCs w:val="24"/>
        </w:rPr>
        <w:t>wydruki nie mogą się rozmazywać podczas dotyku,</w:t>
      </w:r>
    </w:p>
    <w:p w14:paraId="3F4C3C2D" w14:textId="77777777" w:rsidR="00BF20D4" w:rsidRPr="00AC16AF" w:rsidRDefault="00BF20D4" w:rsidP="006E51FA">
      <w:pPr>
        <w:pStyle w:val="Akapitzlist"/>
        <w:numPr>
          <w:ilvl w:val="0"/>
          <w:numId w:val="2"/>
        </w:numPr>
        <w:spacing w:line="360" w:lineRule="auto"/>
        <w:jc w:val="both"/>
        <w:rPr>
          <w:rFonts w:ascii="Arial" w:hAnsi="Arial" w:cs="Arial"/>
          <w:i/>
          <w:sz w:val="24"/>
          <w:szCs w:val="24"/>
        </w:rPr>
      </w:pPr>
      <w:r w:rsidRPr="00AC16AF">
        <w:rPr>
          <w:rFonts w:ascii="Arial" w:hAnsi="Arial" w:cs="Arial"/>
          <w:i/>
          <w:sz w:val="24"/>
          <w:szCs w:val="24"/>
        </w:rPr>
        <w:t>nie mogą powodować głośnej pracy urządzenie w czasie drukowania,</w:t>
      </w:r>
    </w:p>
    <w:p w14:paraId="6AAD5D11" w14:textId="77777777" w:rsidR="00BF20D4" w:rsidRPr="00AC16AF" w:rsidRDefault="00BF20D4" w:rsidP="006E51FA">
      <w:pPr>
        <w:pStyle w:val="Akapitzlist"/>
        <w:numPr>
          <w:ilvl w:val="0"/>
          <w:numId w:val="2"/>
        </w:numPr>
        <w:spacing w:line="360" w:lineRule="auto"/>
        <w:jc w:val="both"/>
        <w:rPr>
          <w:rFonts w:ascii="Arial" w:hAnsi="Arial" w:cs="Arial"/>
          <w:i/>
          <w:sz w:val="24"/>
          <w:szCs w:val="24"/>
        </w:rPr>
      </w:pPr>
      <w:r w:rsidRPr="00AC16AF">
        <w:rPr>
          <w:rFonts w:ascii="Arial" w:hAnsi="Arial" w:cs="Arial"/>
          <w:i/>
          <w:sz w:val="24"/>
          <w:szCs w:val="24"/>
        </w:rPr>
        <w:t>na opakowaniach muszą być wyszczególnione wszystkie modele urządzeń, z którymi dany materiał jest kompatybilny,</w:t>
      </w:r>
    </w:p>
    <w:p w14:paraId="17D84366" w14:textId="77777777" w:rsidR="00BF20D4" w:rsidRDefault="00BF20D4" w:rsidP="006E51FA">
      <w:pPr>
        <w:pStyle w:val="Akapitzlist"/>
        <w:numPr>
          <w:ilvl w:val="0"/>
          <w:numId w:val="2"/>
        </w:numPr>
        <w:spacing w:line="360" w:lineRule="auto"/>
        <w:jc w:val="both"/>
        <w:rPr>
          <w:rFonts w:ascii="Arial" w:hAnsi="Arial" w:cs="Arial"/>
          <w:i/>
          <w:sz w:val="24"/>
          <w:szCs w:val="24"/>
        </w:rPr>
      </w:pPr>
      <w:r w:rsidRPr="00AC16AF">
        <w:rPr>
          <w:rFonts w:ascii="Arial" w:hAnsi="Arial" w:cs="Arial"/>
          <w:i/>
          <w:sz w:val="24"/>
          <w:szCs w:val="24"/>
        </w:rPr>
        <w:t>w przypadku materiałów do urządzeń kolorowych, na opakowaniach i materiałach muszą  znajdować się identyfikatory kolorów</w:t>
      </w:r>
    </w:p>
    <w:p w14:paraId="5E9E5AF2" w14:textId="77777777" w:rsidR="00D5552F" w:rsidRDefault="00D5552F" w:rsidP="006E51FA">
      <w:pPr>
        <w:pStyle w:val="Akapitzlist"/>
        <w:numPr>
          <w:ilvl w:val="0"/>
          <w:numId w:val="2"/>
        </w:numPr>
        <w:spacing w:line="360" w:lineRule="auto"/>
        <w:jc w:val="both"/>
        <w:rPr>
          <w:rFonts w:ascii="Arial" w:hAnsi="Arial" w:cs="Arial"/>
          <w:i/>
          <w:sz w:val="24"/>
          <w:szCs w:val="24"/>
        </w:rPr>
      </w:pPr>
      <w:r w:rsidRPr="00D5552F">
        <w:rPr>
          <w:rFonts w:ascii="Arial" w:hAnsi="Arial" w:cs="Arial"/>
          <w:i/>
          <w:sz w:val="24"/>
          <w:szCs w:val="24"/>
        </w:rPr>
        <w:t xml:space="preserve">termin przydatności do użycia </w:t>
      </w:r>
      <w:r w:rsidRPr="00D5552F">
        <w:rPr>
          <w:rFonts w:ascii="Arial" w:hAnsi="Arial" w:cs="Arial"/>
          <w:b/>
          <w:i/>
          <w:sz w:val="24"/>
          <w:szCs w:val="24"/>
        </w:rPr>
        <w:t>nie krótszy niż 24 miesiące</w:t>
      </w:r>
      <w:r w:rsidRPr="00D5552F">
        <w:rPr>
          <w:rFonts w:ascii="Arial" w:hAnsi="Arial" w:cs="Arial"/>
          <w:i/>
          <w:sz w:val="24"/>
          <w:szCs w:val="24"/>
        </w:rPr>
        <w:t xml:space="preserve"> w przypadku tonerów i bębnów i nie krótszy niż </w:t>
      </w:r>
      <w:r w:rsidRPr="00D5552F">
        <w:rPr>
          <w:rFonts w:ascii="Arial" w:hAnsi="Arial" w:cs="Arial"/>
          <w:b/>
          <w:i/>
          <w:sz w:val="24"/>
          <w:szCs w:val="24"/>
        </w:rPr>
        <w:t>12 miesięcy</w:t>
      </w:r>
      <w:r w:rsidRPr="00D5552F">
        <w:rPr>
          <w:rFonts w:ascii="Arial" w:hAnsi="Arial" w:cs="Arial"/>
          <w:i/>
          <w:sz w:val="24"/>
          <w:szCs w:val="24"/>
        </w:rPr>
        <w:t xml:space="preserve"> w przypadku tuszy, głowic i taśm licząc od dnia dostawy do magazynu</w:t>
      </w:r>
    </w:p>
    <w:p w14:paraId="7C13ED46" w14:textId="77777777" w:rsidR="000A4E4E" w:rsidRPr="00A42EAD" w:rsidRDefault="000A4E4E" w:rsidP="000A4E4E">
      <w:pPr>
        <w:pStyle w:val="Akapitzlist"/>
        <w:spacing w:line="360" w:lineRule="auto"/>
        <w:ind w:left="1410"/>
        <w:jc w:val="both"/>
        <w:rPr>
          <w:rFonts w:ascii="Arial" w:hAnsi="Arial" w:cs="Arial"/>
          <w:i/>
          <w:sz w:val="24"/>
          <w:szCs w:val="24"/>
        </w:rPr>
      </w:pPr>
    </w:p>
    <w:p w14:paraId="23827DD5" w14:textId="77777777" w:rsidR="009C79C8" w:rsidRPr="00A42EAD" w:rsidRDefault="00557840" w:rsidP="006E51FA">
      <w:pPr>
        <w:pStyle w:val="Akapitzlist"/>
        <w:numPr>
          <w:ilvl w:val="0"/>
          <w:numId w:val="5"/>
        </w:numPr>
        <w:spacing w:line="360" w:lineRule="auto"/>
        <w:jc w:val="both"/>
        <w:rPr>
          <w:rFonts w:ascii="Arial" w:hAnsi="Arial" w:cs="Arial"/>
          <w:sz w:val="24"/>
          <w:szCs w:val="24"/>
        </w:rPr>
      </w:pPr>
      <w:r w:rsidRPr="00A42EAD">
        <w:rPr>
          <w:rFonts w:ascii="Arial" w:hAnsi="Arial" w:cs="Arial"/>
          <w:sz w:val="24"/>
          <w:szCs w:val="24"/>
        </w:rPr>
        <w:t>D</w:t>
      </w:r>
      <w:r w:rsidR="00BF20D4" w:rsidRPr="00A42EAD">
        <w:rPr>
          <w:rFonts w:ascii="Arial" w:hAnsi="Arial" w:cs="Arial"/>
          <w:sz w:val="24"/>
          <w:szCs w:val="24"/>
        </w:rPr>
        <w:t>la każdego materiału z osobna należy przedstawić:</w:t>
      </w:r>
    </w:p>
    <w:p w14:paraId="60222154" w14:textId="77777777" w:rsidR="006E51FA" w:rsidRPr="00A42EAD" w:rsidRDefault="006E51FA" w:rsidP="006E51FA">
      <w:pPr>
        <w:pStyle w:val="Akapitzlist"/>
        <w:spacing w:line="360" w:lineRule="auto"/>
        <w:ind w:left="-66"/>
        <w:jc w:val="both"/>
        <w:rPr>
          <w:rFonts w:ascii="Arial" w:hAnsi="Arial" w:cs="Arial"/>
          <w:sz w:val="24"/>
          <w:szCs w:val="24"/>
        </w:rPr>
      </w:pPr>
    </w:p>
    <w:p w14:paraId="18658243" w14:textId="77777777" w:rsidR="00A42EAD" w:rsidRPr="00A42EAD" w:rsidRDefault="00A42EAD" w:rsidP="00A42EAD">
      <w:pPr>
        <w:pStyle w:val="Akapitzlist"/>
        <w:numPr>
          <w:ilvl w:val="0"/>
          <w:numId w:val="6"/>
        </w:numPr>
        <w:spacing w:line="360" w:lineRule="auto"/>
        <w:jc w:val="both"/>
        <w:rPr>
          <w:rFonts w:ascii="Arial" w:hAnsi="Arial" w:cs="Arial"/>
          <w:sz w:val="24"/>
          <w:szCs w:val="24"/>
        </w:rPr>
      </w:pPr>
      <w:r w:rsidRPr="00A42EAD">
        <w:rPr>
          <w:rFonts w:ascii="Arial" w:hAnsi="Arial" w:cs="Arial"/>
          <w:sz w:val="24"/>
          <w:szCs w:val="24"/>
        </w:rPr>
        <w:t xml:space="preserve">raporty z testów wydajności, przeprowadzone wg norm ISO/IEC 19752, 19798, </w:t>
      </w:r>
      <w:r w:rsidRPr="003332E0">
        <w:rPr>
          <w:rFonts w:ascii="Arial" w:hAnsi="Arial" w:cs="Arial"/>
          <w:strike/>
          <w:color w:val="FF0000"/>
          <w:sz w:val="24"/>
          <w:szCs w:val="24"/>
        </w:rPr>
        <w:t>24711, 24712</w:t>
      </w:r>
      <w:r w:rsidRPr="00A42EAD">
        <w:rPr>
          <w:rFonts w:ascii="Arial" w:hAnsi="Arial" w:cs="Arial"/>
          <w:sz w:val="24"/>
          <w:szCs w:val="24"/>
        </w:rPr>
        <w:t xml:space="preserve">, Zaświadczenia i raporty powinny być wystawione dla każdego oferowanego produktu oddzielnie przez niezależny podmiot uprawniony do kontroli jakości posiadający stosowną akredytację w zakresie badania produktów będących przedmiotem zamówienia. W celu uniknięcia niejasności, Zamawiający wymaga wskazania w danym dokumencie, której pozycji wykazu materiałów stanowiących przedmiot zamówienia (zał. nr 6 do SWZ Formularz cenowy ) dotyczy dany dokument.   </w:t>
      </w:r>
      <w:bookmarkStart w:id="0" w:name="_GoBack"/>
      <w:bookmarkEnd w:id="0"/>
    </w:p>
    <w:p w14:paraId="094309A7" w14:textId="77777777" w:rsidR="00A42EAD" w:rsidRPr="00A42EAD" w:rsidRDefault="00A42EAD" w:rsidP="00A42EAD">
      <w:pPr>
        <w:pStyle w:val="Akapitzlist"/>
        <w:numPr>
          <w:ilvl w:val="0"/>
          <w:numId w:val="6"/>
        </w:numPr>
        <w:spacing w:line="360" w:lineRule="auto"/>
        <w:jc w:val="both"/>
        <w:rPr>
          <w:rFonts w:ascii="Arial" w:hAnsi="Arial" w:cs="Arial"/>
          <w:sz w:val="24"/>
          <w:szCs w:val="24"/>
        </w:rPr>
      </w:pPr>
      <w:r w:rsidRPr="00A42EAD">
        <w:rPr>
          <w:rFonts w:ascii="Arial" w:hAnsi="Arial" w:cs="Arial"/>
          <w:sz w:val="24"/>
          <w:szCs w:val="24"/>
        </w:rPr>
        <w:t xml:space="preserve">aktualny certyfikat potwierdzający wykonanie badań tonerów </w:t>
      </w:r>
      <w:r w:rsidRPr="003332E0">
        <w:rPr>
          <w:rFonts w:ascii="Arial" w:hAnsi="Arial" w:cs="Arial"/>
          <w:strike/>
          <w:color w:val="FF0000"/>
          <w:sz w:val="24"/>
          <w:szCs w:val="24"/>
        </w:rPr>
        <w:t>i tuszy</w:t>
      </w:r>
      <w:r w:rsidRPr="003332E0">
        <w:rPr>
          <w:rFonts w:ascii="Arial" w:hAnsi="Arial" w:cs="Arial"/>
          <w:color w:val="FF0000"/>
          <w:sz w:val="24"/>
          <w:szCs w:val="24"/>
        </w:rPr>
        <w:t xml:space="preserve"> </w:t>
      </w:r>
      <w:r w:rsidRPr="00A42EAD">
        <w:rPr>
          <w:rFonts w:ascii="Arial" w:hAnsi="Arial" w:cs="Arial"/>
          <w:sz w:val="24"/>
          <w:szCs w:val="24"/>
        </w:rPr>
        <w:t xml:space="preserve">(wg norm ISO/IEC 19752, 19798, </w:t>
      </w:r>
      <w:r w:rsidRPr="003332E0">
        <w:rPr>
          <w:rFonts w:ascii="Arial" w:hAnsi="Arial" w:cs="Arial"/>
          <w:strike/>
          <w:color w:val="FF0000"/>
          <w:sz w:val="24"/>
          <w:szCs w:val="24"/>
        </w:rPr>
        <w:t>24711, 24712</w:t>
      </w:r>
      <w:r w:rsidRPr="00A42EAD">
        <w:rPr>
          <w:rFonts w:ascii="Arial" w:hAnsi="Arial" w:cs="Arial"/>
          <w:sz w:val="24"/>
          <w:szCs w:val="24"/>
        </w:rPr>
        <w:t xml:space="preserve">)  dla każdego z produktów równoważnych przedstawionych w ofercie, certyfikat powinien zostać wystawiony przez niezależny podmiot uprawniony do kontroli jakości </w:t>
      </w:r>
      <w:r w:rsidRPr="00A42EAD">
        <w:rPr>
          <w:rFonts w:ascii="Arial" w:hAnsi="Arial" w:cs="Arial"/>
          <w:sz w:val="24"/>
          <w:szCs w:val="24"/>
        </w:rPr>
        <w:lastRenderedPageBreak/>
        <w:t>posiadający stosowną akredytację w zakresie badania produktów będących przedmiotem zamówienia.</w:t>
      </w:r>
    </w:p>
    <w:p w14:paraId="6BD5FFD1" w14:textId="77777777" w:rsidR="00A42EAD" w:rsidRPr="00A42EAD" w:rsidRDefault="00A42EAD" w:rsidP="00A42EAD">
      <w:pPr>
        <w:pStyle w:val="Akapitzlist"/>
        <w:numPr>
          <w:ilvl w:val="0"/>
          <w:numId w:val="6"/>
        </w:numPr>
        <w:spacing w:line="360" w:lineRule="auto"/>
        <w:jc w:val="both"/>
        <w:rPr>
          <w:rFonts w:ascii="Arial" w:hAnsi="Arial" w:cs="Arial"/>
          <w:sz w:val="24"/>
          <w:szCs w:val="24"/>
        </w:rPr>
      </w:pPr>
      <w:r w:rsidRPr="00A42EAD">
        <w:rPr>
          <w:rFonts w:ascii="Arial" w:hAnsi="Arial" w:cs="Arial"/>
          <w:sz w:val="24"/>
          <w:szCs w:val="24"/>
        </w:rPr>
        <w:t>karty Charakterystyki substancji/mieszaniny  (</w:t>
      </w:r>
      <w:proofErr w:type="spellStart"/>
      <w:r w:rsidRPr="00A42EAD">
        <w:rPr>
          <w:rFonts w:ascii="Arial" w:hAnsi="Arial" w:cs="Arial"/>
          <w:sz w:val="24"/>
          <w:szCs w:val="24"/>
        </w:rPr>
        <w:t>Material</w:t>
      </w:r>
      <w:proofErr w:type="spellEnd"/>
      <w:r w:rsidRPr="00A42EAD">
        <w:rPr>
          <w:rFonts w:ascii="Arial" w:hAnsi="Arial" w:cs="Arial"/>
          <w:sz w:val="24"/>
          <w:szCs w:val="24"/>
        </w:rPr>
        <w:t xml:space="preserve"> </w:t>
      </w:r>
      <w:proofErr w:type="spellStart"/>
      <w:r w:rsidRPr="00A42EAD">
        <w:rPr>
          <w:rFonts w:ascii="Arial" w:hAnsi="Arial" w:cs="Arial"/>
          <w:sz w:val="24"/>
          <w:szCs w:val="24"/>
        </w:rPr>
        <w:t>Safty</w:t>
      </w:r>
      <w:proofErr w:type="spellEnd"/>
      <w:r w:rsidRPr="00A42EAD">
        <w:rPr>
          <w:rFonts w:ascii="Arial" w:hAnsi="Arial" w:cs="Arial"/>
          <w:sz w:val="24"/>
          <w:szCs w:val="24"/>
        </w:rPr>
        <w:t xml:space="preserve"> Data </w:t>
      </w:r>
      <w:proofErr w:type="spellStart"/>
      <w:r w:rsidRPr="00A42EAD">
        <w:rPr>
          <w:rFonts w:ascii="Arial" w:hAnsi="Arial" w:cs="Arial"/>
          <w:sz w:val="24"/>
          <w:szCs w:val="24"/>
        </w:rPr>
        <w:t>Sheet</w:t>
      </w:r>
      <w:proofErr w:type="spellEnd"/>
      <w:r w:rsidRPr="00A42EAD">
        <w:rPr>
          <w:rFonts w:ascii="Arial" w:hAnsi="Arial" w:cs="Arial"/>
          <w:sz w:val="24"/>
          <w:szCs w:val="24"/>
        </w:rPr>
        <w:t>) dla każdego zaoferowanego produktu</w:t>
      </w:r>
    </w:p>
    <w:p w14:paraId="0BC3DEF4" w14:textId="77777777" w:rsidR="00A42EAD" w:rsidRPr="00A42EAD" w:rsidRDefault="00A42EAD" w:rsidP="00A42EAD">
      <w:pPr>
        <w:pStyle w:val="Akapitzlist"/>
        <w:numPr>
          <w:ilvl w:val="0"/>
          <w:numId w:val="6"/>
        </w:numPr>
        <w:spacing w:line="360" w:lineRule="auto"/>
        <w:jc w:val="both"/>
        <w:rPr>
          <w:rFonts w:ascii="Arial" w:hAnsi="Arial" w:cs="Arial"/>
          <w:sz w:val="24"/>
          <w:szCs w:val="24"/>
        </w:rPr>
      </w:pPr>
      <w:r w:rsidRPr="00A42EAD">
        <w:rPr>
          <w:rFonts w:ascii="Arial" w:hAnsi="Arial" w:cs="Arial"/>
          <w:sz w:val="24"/>
          <w:szCs w:val="24"/>
        </w:rPr>
        <w:t>certyfikaty bezpieczeństwa elektrycznego CE dla każdego zaoferowanego produktu</w:t>
      </w:r>
    </w:p>
    <w:p w14:paraId="744CEB03" w14:textId="77777777" w:rsidR="00A42EAD" w:rsidRPr="00A42EAD" w:rsidRDefault="00A42EAD" w:rsidP="00A42EAD">
      <w:pPr>
        <w:pStyle w:val="Akapitzlist"/>
        <w:numPr>
          <w:ilvl w:val="0"/>
          <w:numId w:val="6"/>
        </w:numPr>
        <w:spacing w:line="360" w:lineRule="auto"/>
        <w:jc w:val="both"/>
        <w:rPr>
          <w:rFonts w:ascii="Arial" w:hAnsi="Arial" w:cs="Arial"/>
          <w:sz w:val="24"/>
          <w:szCs w:val="24"/>
        </w:rPr>
      </w:pPr>
      <w:r w:rsidRPr="00A42EAD">
        <w:rPr>
          <w:rFonts w:ascii="Arial" w:hAnsi="Arial" w:cs="Arial"/>
          <w:sz w:val="24"/>
          <w:szCs w:val="24"/>
        </w:rPr>
        <w:t>karty specyfikacji technicznej dla każdego zaoferowanego produktu</w:t>
      </w:r>
    </w:p>
    <w:p w14:paraId="5CBF7B44" w14:textId="77777777" w:rsidR="00A42EAD" w:rsidRPr="00A42EAD" w:rsidRDefault="00A42EAD" w:rsidP="00A42EAD">
      <w:pPr>
        <w:pStyle w:val="Akapitzlist"/>
        <w:numPr>
          <w:ilvl w:val="0"/>
          <w:numId w:val="6"/>
        </w:numPr>
        <w:spacing w:line="360" w:lineRule="auto"/>
        <w:jc w:val="both"/>
        <w:rPr>
          <w:rFonts w:ascii="Arial" w:hAnsi="Arial" w:cs="Arial"/>
          <w:color w:val="FF0000"/>
          <w:sz w:val="24"/>
          <w:szCs w:val="24"/>
        </w:rPr>
      </w:pPr>
      <w:r w:rsidRPr="00A42EAD">
        <w:rPr>
          <w:rFonts w:ascii="Arial" w:hAnsi="Arial" w:cs="Arial"/>
          <w:sz w:val="24"/>
          <w:szCs w:val="24"/>
          <w:lang w:eastAsia="ar-SA"/>
        </w:rPr>
        <w:t>oświadczenie producenta, że oferowane produkty równoważne są wyrobami fabrycznie nowymi, nieregenerowanymi, w pełni kompatybilnymi ze sprzętem, do którego są przeznaczone, o parametrach takich samych w stosunku do typu zamawianego produktu stanowiącego przedmiot zamówienia oraz że proces produkcji i stosowanie wyprodukowanych przez niego materiałów eksploatacyjnych nie narusza praw patentowych producentów oryginalnych tonerów, tuszy i kaset, jak również że użycie tego produktu do serwisowanych w ramach gwarancji urządzeń nie spowoduje uszkodzenia naruszającego warunki gwarancji.</w:t>
      </w:r>
    </w:p>
    <w:p w14:paraId="38E8C05D" w14:textId="77777777" w:rsidR="00A42EAD" w:rsidRPr="00A42EAD" w:rsidRDefault="00A42EAD" w:rsidP="00A42EAD">
      <w:pPr>
        <w:pStyle w:val="Akapitzlist"/>
        <w:numPr>
          <w:ilvl w:val="0"/>
          <w:numId w:val="6"/>
        </w:numPr>
        <w:spacing w:line="360" w:lineRule="auto"/>
        <w:jc w:val="both"/>
        <w:rPr>
          <w:rFonts w:ascii="Arial" w:hAnsi="Arial" w:cs="Arial"/>
          <w:sz w:val="24"/>
          <w:szCs w:val="24"/>
        </w:rPr>
      </w:pPr>
      <w:r w:rsidRPr="00A42EAD">
        <w:rPr>
          <w:rFonts w:ascii="Arial" w:hAnsi="Arial" w:cs="Arial"/>
          <w:sz w:val="24"/>
          <w:szCs w:val="24"/>
        </w:rPr>
        <w:t xml:space="preserve">aktualny na dzień składania ofert certyfikat ISO 9001:2015 w zakresie dostaw materiałów eksploatacyjnych do biurowych urządzeń drukujących, certyfikaty ISO 14001, potwierdzające proekologiczny system działania, </w:t>
      </w:r>
    </w:p>
    <w:p w14:paraId="54286F66" w14:textId="77777777" w:rsidR="00A42EAD" w:rsidRPr="00A42EAD" w:rsidRDefault="00A42EAD" w:rsidP="00A42EAD">
      <w:pPr>
        <w:pStyle w:val="Akapitzlist"/>
        <w:spacing w:line="360" w:lineRule="auto"/>
        <w:jc w:val="both"/>
        <w:rPr>
          <w:rFonts w:ascii="Arial" w:hAnsi="Arial" w:cs="Arial"/>
          <w:color w:val="FF0000"/>
          <w:sz w:val="24"/>
          <w:szCs w:val="24"/>
        </w:rPr>
      </w:pPr>
    </w:p>
    <w:p w14:paraId="130744C3" w14:textId="4EC383E9" w:rsidR="00557840" w:rsidRPr="00BC556F" w:rsidRDefault="00A42EAD" w:rsidP="00BC556F">
      <w:pPr>
        <w:pStyle w:val="Akapitzlist"/>
        <w:spacing w:line="360" w:lineRule="auto"/>
        <w:jc w:val="both"/>
        <w:rPr>
          <w:rFonts w:ascii="Arial" w:hAnsi="Arial" w:cs="Arial"/>
          <w:b/>
          <w:sz w:val="24"/>
          <w:szCs w:val="24"/>
        </w:rPr>
      </w:pPr>
      <w:r w:rsidRPr="00A42EAD">
        <w:rPr>
          <w:rFonts w:ascii="Arial" w:hAnsi="Arial" w:cs="Arial"/>
          <w:b/>
          <w:sz w:val="24"/>
          <w:szCs w:val="24"/>
        </w:rPr>
        <w:t>Na wszystkich dokumentach: raportach, certyfikatach, kartach  wymienionych powinien zostać wskazany ten sam producent materiałów równoważnych.</w:t>
      </w:r>
    </w:p>
    <w:p w14:paraId="18E5972D" w14:textId="77777777" w:rsidR="008A2595" w:rsidRPr="00AC16AF" w:rsidRDefault="008A2595" w:rsidP="00BC556F">
      <w:pPr>
        <w:spacing w:after="0" w:line="360" w:lineRule="auto"/>
        <w:ind w:left="709" w:right="-567" w:firstLine="284"/>
        <w:jc w:val="both"/>
        <w:rPr>
          <w:rFonts w:ascii="Arial" w:eastAsia="Times New Roman" w:hAnsi="Arial" w:cs="Arial"/>
          <w:sz w:val="24"/>
          <w:szCs w:val="24"/>
          <w:lang w:eastAsia="pl-PL"/>
        </w:rPr>
      </w:pPr>
      <w:r w:rsidRPr="00AC16AF">
        <w:rPr>
          <w:rFonts w:ascii="Arial" w:eastAsia="Times New Roman" w:hAnsi="Arial" w:cs="Arial"/>
          <w:sz w:val="24"/>
          <w:szCs w:val="24"/>
          <w:lang w:eastAsia="pl-PL"/>
        </w:rPr>
        <w:t xml:space="preserve"> Niezależnie od ww. wymagań </w:t>
      </w:r>
      <w:r w:rsidRPr="00BC556F">
        <w:rPr>
          <w:rFonts w:ascii="Arial" w:eastAsia="Times New Roman" w:hAnsi="Arial" w:cs="Arial"/>
          <w:b/>
          <w:sz w:val="24"/>
          <w:szCs w:val="24"/>
          <w:u w:val="single"/>
          <w:lang w:eastAsia="pl-PL"/>
        </w:rPr>
        <w:t>Zamawiający żąda,</w:t>
      </w:r>
      <w:r w:rsidRPr="00AC16AF">
        <w:rPr>
          <w:rFonts w:ascii="Arial" w:eastAsia="Times New Roman" w:hAnsi="Arial" w:cs="Arial"/>
          <w:sz w:val="24"/>
          <w:szCs w:val="24"/>
          <w:lang w:eastAsia="pl-PL"/>
        </w:rPr>
        <w:t xml:space="preserve"> aby w przypadku zaoferowania</w:t>
      </w:r>
      <w:r w:rsidRPr="00AC16AF">
        <w:rPr>
          <w:rFonts w:ascii="Arial" w:eastAsia="Times New Roman" w:hAnsi="Arial" w:cs="Arial"/>
          <w:color w:val="000000"/>
          <w:sz w:val="24"/>
          <w:szCs w:val="24"/>
          <w:lang w:eastAsia="pl-PL"/>
        </w:rPr>
        <w:t xml:space="preserve"> </w:t>
      </w:r>
      <w:r w:rsidRPr="00AC16AF">
        <w:rPr>
          <w:rFonts w:ascii="Arial" w:eastAsia="Times New Roman" w:hAnsi="Arial" w:cs="Arial"/>
          <w:sz w:val="24"/>
          <w:szCs w:val="24"/>
          <w:lang w:eastAsia="pl-PL"/>
        </w:rPr>
        <w:t>materiałów eksploatacyjny</w:t>
      </w:r>
      <w:r w:rsidR="00A03FE9" w:rsidRPr="00AC16AF">
        <w:rPr>
          <w:rFonts w:ascii="Arial" w:eastAsia="Times New Roman" w:hAnsi="Arial" w:cs="Arial"/>
          <w:sz w:val="24"/>
          <w:szCs w:val="24"/>
          <w:lang w:eastAsia="pl-PL"/>
        </w:rPr>
        <w:t xml:space="preserve">ch równoważnych Wykonawca złoży </w:t>
      </w:r>
      <w:r w:rsidR="00A03FE9" w:rsidRPr="00BC556F">
        <w:rPr>
          <w:rFonts w:ascii="Arial" w:eastAsia="Times New Roman" w:hAnsi="Arial" w:cs="Arial"/>
          <w:b/>
          <w:sz w:val="24"/>
          <w:szCs w:val="24"/>
          <w:u w:val="single"/>
          <w:lang w:eastAsia="pl-PL"/>
        </w:rPr>
        <w:t>przed podpisaniem</w:t>
      </w:r>
      <w:r w:rsidR="00A03FE9" w:rsidRPr="00AC16AF">
        <w:rPr>
          <w:rFonts w:ascii="Arial" w:eastAsia="Times New Roman" w:hAnsi="Arial" w:cs="Arial"/>
          <w:sz w:val="24"/>
          <w:szCs w:val="24"/>
          <w:lang w:eastAsia="pl-PL"/>
        </w:rPr>
        <w:t xml:space="preserve"> Umowy</w:t>
      </w:r>
      <w:r w:rsidRPr="00AC16AF">
        <w:rPr>
          <w:rFonts w:ascii="Arial" w:eastAsia="Times New Roman" w:hAnsi="Arial" w:cs="Arial"/>
          <w:sz w:val="24"/>
          <w:szCs w:val="24"/>
          <w:lang w:eastAsia="pl-PL"/>
        </w:rPr>
        <w:t xml:space="preserve"> oświadczenie następującej treści:</w:t>
      </w:r>
    </w:p>
    <w:p w14:paraId="3AE564E0" w14:textId="77777777" w:rsidR="008A2595" w:rsidRPr="00AC16AF" w:rsidRDefault="008A2595" w:rsidP="00BC556F">
      <w:pPr>
        <w:spacing w:after="0" w:line="360" w:lineRule="auto"/>
        <w:ind w:left="709" w:right="-567" w:firstLine="284"/>
        <w:jc w:val="both"/>
        <w:rPr>
          <w:rFonts w:ascii="Arial" w:eastAsia="Times New Roman" w:hAnsi="Arial" w:cs="Arial"/>
          <w:sz w:val="24"/>
          <w:szCs w:val="24"/>
          <w:lang w:eastAsia="pl-PL"/>
        </w:rPr>
      </w:pPr>
    </w:p>
    <w:p w14:paraId="0D5BC2D0" w14:textId="3DA85C9C" w:rsidR="008A2595" w:rsidRPr="00AC16AF" w:rsidRDefault="008A2595" w:rsidP="00BC556F">
      <w:pPr>
        <w:spacing w:after="0" w:line="360" w:lineRule="auto"/>
        <w:ind w:left="709" w:right="-567" w:firstLine="284"/>
        <w:jc w:val="both"/>
        <w:rPr>
          <w:rFonts w:ascii="Arial" w:eastAsia="Times New Roman" w:hAnsi="Arial" w:cs="Arial"/>
          <w:b/>
          <w:sz w:val="24"/>
          <w:szCs w:val="24"/>
          <w:lang w:eastAsia="pl-PL"/>
        </w:rPr>
      </w:pPr>
      <w:r w:rsidRPr="00AC16AF">
        <w:rPr>
          <w:rFonts w:ascii="Arial" w:eastAsia="Times New Roman" w:hAnsi="Arial" w:cs="Arial"/>
          <w:b/>
          <w:sz w:val="24"/>
          <w:szCs w:val="24"/>
          <w:lang w:eastAsia="pl-PL"/>
        </w:rPr>
        <w:t xml:space="preserve">„Oświadczam, że w przypadku awarii sprzętu z winy dostarczonego materiału eksploatacyjnego zobowiązuję się do naprawy sprzętu </w:t>
      </w:r>
      <w:r w:rsidR="00BC556F">
        <w:rPr>
          <w:rFonts w:ascii="Arial" w:eastAsia="Times New Roman" w:hAnsi="Arial" w:cs="Arial"/>
          <w:b/>
          <w:sz w:val="24"/>
          <w:szCs w:val="24"/>
          <w:lang w:eastAsia="pl-PL"/>
        </w:rPr>
        <w:br/>
      </w:r>
      <w:r w:rsidRPr="00AC16AF">
        <w:rPr>
          <w:rFonts w:ascii="Arial" w:eastAsia="Times New Roman" w:hAnsi="Arial" w:cs="Arial"/>
          <w:b/>
          <w:sz w:val="24"/>
          <w:szCs w:val="24"/>
          <w:lang w:eastAsia="pl-PL"/>
        </w:rPr>
        <w:t>w autoryzowanym serwisie oraz pokrycia w całości szkód, jakie awaria ta spowodowała. Wszelkie wymagane ekspertyzy związane z oceną uszkodzonego sprzętu, na skutek kwestionowanych materiałów eksploatacyjnych, wykonam na własny koszt”.</w:t>
      </w:r>
    </w:p>
    <w:p w14:paraId="144D6C73" w14:textId="77777777" w:rsidR="008A2595" w:rsidRPr="00AC16AF" w:rsidRDefault="008A2595" w:rsidP="00BC556F">
      <w:pPr>
        <w:spacing w:after="0" w:line="360" w:lineRule="auto"/>
        <w:ind w:left="709" w:right="-567" w:firstLine="284"/>
        <w:jc w:val="both"/>
        <w:rPr>
          <w:rFonts w:ascii="Arial" w:eastAsia="Times New Roman" w:hAnsi="Arial" w:cs="Arial"/>
          <w:b/>
          <w:sz w:val="24"/>
          <w:szCs w:val="24"/>
          <w:lang w:eastAsia="pl-PL"/>
        </w:rPr>
      </w:pPr>
    </w:p>
    <w:p w14:paraId="794624CE" w14:textId="77777777" w:rsidR="008A2595" w:rsidRPr="00AC16AF" w:rsidRDefault="008A2595" w:rsidP="00BC556F">
      <w:pPr>
        <w:spacing w:after="0" w:line="360" w:lineRule="auto"/>
        <w:ind w:left="709" w:right="-567" w:firstLine="284"/>
        <w:jc w:val="both"/>
        <w:rPr>
          <w:rFonts w:ascii="Arial" w:eastAsia="Times New Roman" w:hAnsi="Arial" w:cs="Arial"/>
          <w:sz w:val="24"/>
          <w:szCs w:val="24"/>
          <w:lang w:eastAsia="pl-PL"/>
        </w:rPr>
      </w:pPr>
      <w:r w:rsidRPr="00AC16AF">
        <w:rPr>
          <w:rFonts w:ascii="Arial" w:eastAsia="Times New Roman" w:hAnsi="Arial" w:cs="Arial"/>
          <w:sz w:val="24"/>
          <w:szCs w:val="24"/>
          <w:lang w:eastAsia="pl-PL"/>
        </w:rPr>
        <w:t> Jeżeli w trakcie trwania umowy Zamawiający stwierdzi, iż wydajność, jakość lub niezawodność dostarczonych produktów odbiega na niekorzyść od parametrów produktu oryginalnego (pochodzącego od producenta urządzenia, do którego materiał jest przeznaczony) lub jeżeli produkt nie sygnalizuje we właściwy sposób stanu zużycia tuszu lub tonera, może zażądać od Wykonawcy zamiany materiału oferowanego na materiał nowy.</w:t>
      </w:r>
    </w:p>
    <w:p w14:paraId="12FEF969" w14:textId="77777777" w:rsidR="008A2595" w:rsidRPr="00AC16AF" w:rsidRDefault="008A2595" w:rsidP="00BC556F">
      <w:pPr>
        <w:spacing w:after="0" w:line="360" w:lineRule="auto"/>
        <w:ind w:left="709" w:right="-567" w:firstLine="284"/>
        <w:jc w:val="both"/>
        <w:rPr>
          <w:rFonts w:ascii="Arial" w:eastAsia="Times New Roman" w:hAnsi="Arial" w:cs="Arial"/>
          <w:sz w:val="24"/>
          <w:szCs w:val="24"/>
          <w:lang w:eastAsia="pl-PL"/>
        </w:rPr>
      </w:pPr>
    </w:p>
    <w:p w14:paraId="5AB2ED50" w14:textId="77777777" w:rsidR="008A2595" w:rsidRPr="00AC16AF" w:rsidRDefault="008A2595" w:rsidP="00BC556F">
      <w:pPr>
        <w:spacing w:after="0" w:line="360" w:lineRule="auto"/>
        <w:ind w:left="709" w:right="-567" w:firstLine="284"/>
        <w:jc w:val="both"/>
        <w:rPr>
          <w:rFonts w:ascii="Arial" w:eastAsia="Times New Roman" w:hAnsi="Arial" w:cs="Arial"/>
          <w:sz w:val="24"/>
          <w:szCs w:val="24"/>
          <w:lang w:eastAsia="pl-PL"/>
        </w:rPr>
      </w:pPr>
      <w:r w:rsidRPr="00AC16AF">
        <w:rPr>
          <w:rFonts w:ascii="Arial" w:eastAsia="Times New Roman" w:hAnsi="Arial" w:cs="Arial"/>
          <w:sz w:val="24"/>
          <w:szCs w:val="24"/>
          <w:lang w:eastAsia="pl-PL"/>
        </w:rPr>
        <w:t> W przypadku trzech reklamacji materiałów eksploatacyjnych Zamawiający może żądać dostaw materiałów oryginalnych lub rozwiązać umowę z winy Wykonawcy.</w:t>
      </w:r>
    </w:p>
    <w:p w14:paraId="1D46EA6F" w14:textId="77777777" w:rsidR="00720E8F" w:rsidRPr="00AC16AF" w:rsidRDefault="008A2595" w:rsidP="00BC556F">
      <w:pPr>
        <w:spacing w:line="360" w:lineRule="auto"/>
        <w:ind w:left="709" w:right="-567" w:firstLine="284"/>
        <w:jc w:val="both"/>
        <w:rPr>
          <w:rFonts w:ascii="Arial" w:hAnsi="Arial" w:cs="Arial"/>
          <w:sz w:val="24"/>
          <w:szCs w:val="24"/>
        </w:rPr>
      </w:pPr>
      <w:r w:rsidRPr="00AC16AF">
        <w:rPr>
          <w:rFonts w:ascii="Arial" w:eastAsia="Times New Roman" w:hAnsi="Arial" w:cs="Arial"/>
          <w:sz w:val="24"/>
          <w:szCs w:val="24"/>
          <w:lang w:eastAsia="pl-PL"/>
        </w:rPr>
        <w:t xml:space="preserve"> Wykonawca udzieli gwarancji na </w:t>
      </w:r>
      <w:r w:rsidRPr="00AC16AF">
        <w:rPr>
          <w:rFonts w:ascii="Arial" w:eastAsia="Times New Roman" w:hAnsi="Arial" w:cs="Arial"/>
          <w:b/>
          <w:bCs/>
          <w:sz w:val="24"/>
          <w:szCs w:val="24"/>
          <w:lang w:eastAsia="pl-PL"/>
        </w:rPr>
        <w:t>okres minimum 24 miesięcy</w:t>
      </w:r>
      <w:r w:rsidRPr="00AC16AF">
        <w:rPr>
          <w:rFonts w:ascii="Arial" w:eastAsia="Times New Roman" w:hAnsi="Arial" w:cs="Arial"/>
          <w:sz w:val="24"/>
          <w:szCs w:val="24"/>
          <w:lang w:eastAsia="pl-PL"/>
        </w:rPr>
        <w:t>.</w:t>
      </w:r>
    </w:p>
    <w:sectPr w:rsidR="00720E8F" w:rsidRPr="00AC16A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67FF5" w14:textId="77777777" w:rsidR="004F6972" w:rsidRDefault="004F6972" w:rsidP="00AC16AF">
      <w:pPr>
        <w:spacing w:after="0" w:line="240" w:lineRule="auto"/>
      </w:pPr>
      <w:r>
        <w:separator/>
      </w:r>
    </w:p>
  </w:endnote>
  <w:endnote w:type="continuationSeparator" w:id="0">
    <w:p w14:paraId="0E9B83C3" w14:textId="77777777" w:rsidR="004F6972" w:rsidRDefault="004F6972" w:rsidP="00AC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64643" w14:textId="77777777" w:rsidR="004F6972" w:rsidRDefault="004F6972" w:rsidP="00AC16AF">
      <w:pPr>
        <w:spacing w:after="0" w:line="240" w:lineRule="auto"/>
      </w:pPr>
      <w:r>
        <w:separator/>
      </w:r>
    </w:p>
  </w:footnote>
  <w:footnote w:type="continuationSeparator" w:id="0">
    <w:p w14:paraId="5302432C" w14:textId="77777777" w:rsidR="004F6972" w:rsidRDefault="004F6972" w:rsidP="00AC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2A452" w14:textId="5AD151D7" w:rsidR="00BC556F" w:rsidRDefault="00BC556F" w:rsidP="00BC556F">
    <w:pPr>
      <w:pStyle w:val="Nagwek"/>
      <w:jc w:val="right"/>
    </w:pPr>
    <w:r>
      <w:t>Załącznik nr 9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E28D0"/>
    <w:multiLevelType w:val="hybridMultilevel"/>
    <w:tmpl w:val="F854551A"/>
    <w:lvl w:ilvl="0" w:tplc="DEE81CF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B356DF"/>
    <w:multiLevelType w:val="hybridMultilevel"/>
    <w:tmpl w:val="FF52819E"/>
    <w:lvl w:ilvl="0" w:tplc="0B2604AE">
      <w:start w:val="1"/>
      <w:numFmt w:val="lowerLetter"/>
      <w:lvlText w:val="%1)"/>
      <w:lvlJc w:val="left"/>
      <w:pPr>
        <w:ind w:left="1695" w:hanging="360"/>
      </w:pPr>
      <w:rPr>
        <w:rFonts w:hint="default"/>
      </w:rPr>
    </w:lvl>
    <w:lvl w:ilvl="1" w:tplc="04150019" w:tentative="1">
      <w:start w:val="1"/>
      <w:numFmt w:val="lowerLetter"/>
      <w:lvlText w:val="%2."/>
      <w:lvlJc w:val="left"/>
      <w:pPr>
        <w:ind w:left="2415" w:hanging="360"/>
      </w:pPr>
    </w:lvl>
    <w:lvl w:ilvl="2" w:tplc="0415001B" w:tentative="1">
      <w:start w:val="1"/>
      <w:numFmt w:val="lowerRoman"/>
      <w:lvlText w:val="%3."/>
      <w:lvlJc w:val="right"/>
      <w:pPr>
        <w:ind w:left="3135" w:hanging="180"/>
      </w:pPr>
    </w:lvl>
    <w:lvl w:ilvl="3" w:tplc="0415000F" w:tentative="1">
      <w:start w:val="1"/>
      <w:numFmt w:val="decimal"/>
      <w:lvlText w:val="%4."/>
      <w:lvlJc w:val="left"/>
      <w:pPr>
        <w:ind w:left="3855" w:hanging="360"/>
      </w:pPr>
    </w:lvl>
    <w:lvl w:ilvl="4" w:tplc="04150019" w:tentative="1">
      <w:start w:val="1"/>
      <w:numFmt w:val="lowerLetter"/>
      <w:lvlText w:val="%5."/>
      <w:lvlJc w:val="left"/>
      <w:pPr>
        <w:ind w:left="4575" w:hanging="360"/>
      </w:pPr>
    </w:lvl>
    <w:lvl w:ilvl="5" w:tplc="0415001B" w:tentative="1">
      <w:start w:val="1"/>
      <w:numFmt w:val="lowerRoman"/>
      <w:lvlText w:val="%6."/>
      <w:lvlJc w:val="right"/>
      <w:pPr>
        <w:ind w:left="5295" w:hanging="180"/>
      </w:pPr>
    </w:lvl>
    <w:lvl w:ilvl="6" w:tplc="0415000F" w:tentative="1">
      <w:start w:val="1"/>
      <w:numFmt w:val="decimal"/>
      <w:lvlText w:val="%7."/>
      <w:lvlJc w:val="left"/>
      <w:pPr>
        <w:ind w:left="6015" w:hanging="360"/>
      </w:pPr>
    </w:lvl>
    <w:lvl w:ilvl="7" w:tplc="04150019" w:tentative="1">
      <w:start w:val="1"/>
      <w:numFmt w:val="lowerLetter"/>
      <w:lvlText w:val="%8."/>
      <w:lvlJc w:val="left"/>
      <w:pPr>
        <w:ind w:left="6735" w:hanging="360"/>
      </w:pPr>
    </w:lvl>
    <w:lvl w:ilvl="8" w:tplc="0415001B" w:tentative="1">
      <w:start w:val="1"/>
      <w:numFmt w:val="lowerRoman"/>
      <w:lvlText w:val="%9."/>
      <w:lvlJc w:val="right"/>
      <w:pPr>
        <w:ind w:left="7455" w:hanging="180"/>
      </w:pPr>
    </w:lvl>
  </w:abstractNum>
  <w:abstractNum w:abstractNumId="2" w15:restartNumberingAfterBreak="0">
    <w:nsid w:val="20023701"/>
    <w:multiLevelType w:val="hybridMultilevel"/>
    <w:tmpl w:val="AAD090C8"/>
    <w:lvl w:ilvl="0" w:tplc="0AF25F98">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 w15:restartNumberingAfterBreak="0">
    <w:nsid w:val="3A1C7E4E"/>
    <w:multiLevelType w:val="hybridMultilevel"/>
    <w:tmpl w:val="E242B8C6"/>
    <w:lvl w:ilvl="0" w:tplc="DEE81CFA">
      <w:start w:val="1"/>
      <w:numFmt w:val="lowerLetter"/>
      <w:lvlText w:val="%1)"/>
      <w:lvlJc w:val="left"/>
      <w:pPr>
        <w:ind w:left="1410" w:hanging="705"/>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15:restartNumberingAfterBreak="0">
    <w:nsid w:val="4F9848A2"/>
    <w:multiLevelType w:val="hybridMultilevel"/>
    <w:tmpl w:val="82428ED0"/>
    <w:lvl w:ilvl="0" w:tplc="DEE81CFA">
      <w:start w:val="1"/>
      <w:numFmt w:val="lowerLetter"/>
      <w:lvlText w:val="%1)"/>
      <w:lvlJc w:val="left"/>
      <w:pPr>
        <w:ind w:left="1410"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70553C8"/>
    <w:multiLevelType w:val="hybridMultilevel"/>
    <w:tmpl w:val="F380F4B8"/>
    <w:lvl w:ilvl="0" w:tplc="FA424992">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595"/>
    <w:rsid w:val="000007B9"/>
    <w:rsid w:val="000367B2"/>
    <w:rsid w:val="000A4E4E"/>
    <w:rsid w:val="001E4745"/>
    <w:rsid w:val="00230160"/>
    <w:rsid w:val="0028776C"/>
    <w:rsid w:val="002B3658"/>
    <w:rsid w:val="003332E0"/>
    <w:rsid w:val="00397A12"/>
    <w:rsid w:val="003E39BC"/>
    <w:rsid w:val="004A2453"/>
    <w:rsid w:val="004B17E4"/>
    <w:rsid w:val="004D6CF8"/>
    <w:rsid w:val="004F6972"/>
    <w:rsid w:val="00557840"/>
    <w:rsid w:val="0058011F"/>
    <w:rsid w:val="006236DC"/>
    <w:rsid w:val="006E51FA"/>
    <w:rsid w:val="00720E8F"/>
    <w:rsid w:val="00780ED4"/>
    <w:rsid w:val="00781C34"/>
    <w:rsid w:val="008A2595"/>
    <w:rsid w:val="008B0DE8"/>
    <w:rsid w:val="009308E6"/>
    <w:rsid w:val="00945739"/>
    <w:rsid w:val="009C79C8"/>
    <w:rsid w:val="00A03FE9"/>
    <w:rsid w:val="00A42EAD"/>
    <w:rsid w:val="00A6312D"/>
    <w:rsid w:val="00A71AE0"/>
    <w:rsid w:val="00A97FA2"/>
    <w:rsid w:val="00AB0763"/>
    <w:rsid w:val="00AC0941"/>
    <w:rsid w:val="00AC16AF"/>
    <w:rsid w:val="00BC556F"/>
    <w:rsid w:val="00BF20D4"/>
    <w:rsid w:val="00D5552F"/>
    <w:rsid w:val="00E24E8A"/>
    <w:rsid w:val="00E41B0F"/>
    <w:rsid w:val="00E60B83"/>
    <w:rsid w:val="00E75AE0"/>
    <w:rsid w:val="00EC398C"/>
    <w:rsid w:val="00F72959"/>
    <w:rsid w:val="00FA0B00"/>
    <w:rsid w:val="00FA7069"/>
    <w:rsid w:val="00FE1D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3887E"/>
  <w15:chartTrackingRefBased/>
  <w15:docId w15:val="{DDF43C1E-7C08-4353-989D-DFA27C26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A25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sw tekst,normalny tekst,Akapit z listą BS,Odstavec,Akapit z listą numerowaną,Podsis rysunku,lp1,Bullet List,FooterText"/>
    <w:basedOn w:val="Normalny"/>
    <w:link w:val="AkapitzlistZnak"/>
    <w:uiPriority w:val="34"/>
    <w:qFormat/>
    <w:rsid w:val="009308E6"/>
    <w:pPr>
      <w:ind w:left="720"/>
      <w:contextualSpacing/>
    </w:pPr>
  </w:style>
  <w:style w:type="paragraph" w:styleId="Nagwek">
    <w:name w:val="header"/>
    <w:basedOn w:val="Normalny"/>
    <w:link w:val="NagwekZnak"/>
    <w:uiPriority w:val="99"/>
    <w:unhideWhenUsed/>
    <w:rsid w:val="00AC16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6AF"/>
  </w:style>
  <w:style w:type="paragraph" w:styleId="Stopka">
    <w:name w:val="footer"/>
    <w:basedOn w:val="Normalny"/>
    <w:link w:val="StopkaZnak"/>
    <w:uiPriority w:val="99"/>
    <w:unhideWhenUsed/>
    <w:rsid w:val="00AC16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6AF"/>
  </w:style>
  <w:style w:type="character" w:customStyle="1" w:styleId="AkapitzlistZnak">
    <w:name w:val="Akapit z listą Znak"/>
    <w:aliases w:val="L1 Znak,Numerowanie Znak,List Paragraph Znak,2 heading Znak,A_wyliczenie Znak,K-P_odwolanie Znak,Akapit z listą5 Znak,maz_wyliczenie Znak,opis dzialania Znak,sw tekst Znak,normalny tekst Znak,Akapit z listą BS Znak,Odstavec Znak"/>
    <w:link w:val="Akapitzlist"/>
    <w:uiPriority w:val="34"/>
    <w:qFormat/>
    <w:locked/>
    <w:rsid w:val="00A42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2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095FB0F3-E051-4A57-886D-49A68E137AA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885</Words>
  <Characters>5310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Kubański Piotr</dc:creator>
  <cp:keywords/>
  <dc:description/>
  <cp:lastModifiedBy>Wasyliszyn Justyna</cp:lastModifiedBy>
  <cp:revision>5</cp:revision>
  <dcterms:created xsi:type="dcterms:W3CDTF">2024-12-22T13:46:00Z</dcterms:created>
  <dcterms:modified xsi:type="dcterms:W3CDTF">2025-01-27T12:51:00Z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15e1a85c-5316-4eac-8e4d-07fca7f8194e</vt:lpwstr>
  </property>
  <property fmtid="{D5CDD505-2E9C-101B-9397-08002B2CF9AE}" pid="3" name="bjSaver">
    <vt:lpwstr>0ontbnYgrxQZJnk06BxE7hj0jrGywD+M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Kubański Piotr</vt:lpwstr>
  </property>
  <property fmtid="{D5CDD505-2E9C-101B-9397-08002B2CF9AE}" pid="8" name="s5636:Creator type=organization">
    <vt:lpwstr>MILNET-Z</vt:lpwstr>
  </property>
  <property fmtid="{D5CDD505-2E9C-101B-9397-08002B2CF9AE}" pid="9" name="s5636:Creator type=IP">
    <vt:lpwstr>10.68.116.165</vt:lpwstr>
  </property>
  <property fmtid="{D5CDD505-2E9C-101B-9397-08002B2CF9AE}" pid="10" name="bjClsUserRVM">
    <vt:lpwstr>[]</vt:lpwstr>
  </property>
  <property fmtid="{D5CDD505-2E9C-101B-9397-08002B2CF9AE}" pid="11" name="bjPortionMark">
    <vt:lpwstr>[]</vt:lpwstr>
  </property>
</Properties>
</file>