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tl w:val="0"/>
              </w:rPr>
              <w:t xml:space="preserve">2023 </w:t>
            </w:r>
            <w:r w:rsidDel="00000000" w:rsidR="00000000" w:rsidRPr="00000000">
              <w:rPr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tl w:val="0"/>
              </w:rPr>
              <w:t xml:space="preserve"> 1605 z późn. zm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budynków wielorodzinnych w gminie Iława”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22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23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4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ie6nvXy5pSGTJlh5HfAgEnglA==">CgMxLjA4AHIhMVZVOXhQSHJFbm9ZdG9taHFhMEt0RnZSanplYmFvZWhs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